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97E" w:rsidRDefault="001F397E" w:rsidP="001F397E">
      <w:pPr>
        <w:pStyle w:val="a5"/>
        <w:shd w:val="clear" w:color="auto" w:fill="FFFFFF"/>
        <w:spacing w:before="0" w:beforeAutospacing="0" w:after="0" w:afterAutospacing="0" w:line="420" w:lineRule="atLeast"/>
        <w:rPr>
          <w:rStyle w:val="a6"/>
          <w:rFonts w:ascii="微软雅黑" w:eastAsia="微软雅黑" w:hAnsi="微软雅黑"/>
          <w:color w:val="333333"/>
          <w:spacing w:val="8"/>
          <w:sz w:val="32"/>
          <w:szCs w:val="32"/>
        </w:rPr>
      </w:pPr>
    </w:p>
    <w:p w:rsidR="0086603D" w:rsidRDefault="004C0E5D" w:rsidP="004C0E5D">
      <w:pPr>
        <w:pStyle w:val="a5"/>
        <w:shd w:val="clear" w:color="auto" w:fill="FFFFFF"/>
        <w:spacing w:before="0" w:beforeAutospacing="0" w:after="0" w:afterAutospacing="0" w:line="420" w:lineRule="atLeast"/>
        <w:jc w:val="center"/>
        <w:rPr>
          <w:rStyle w:val="a6"/>
          <w:rFonts w:ascii="微软雅黑" w:eastAsia="微软雅黑" w:hAnsi="微软雅黑"/>
          <w:color w:val="333333"/>
          <w:spacing w:val="8"/>
          <w:sz w:val="32"/>
          <w:szCs w:val="32"/>
        </w:rPr>
      </w:pPr>
      <w:r w:rsidRPr="001F397E">
        <w:rPr>
          <w:rStyle w:val="a6"/>
          <w:rFonts w:ascii="微软雅黑" w:eastAsia="微软雅黑" w:hAnsi="微软雅黑" w:hint="eastAsia"/>
          <w:color w:val="333333"/>
          <w:spacing w:val="8"/>
          <w:sz w:val="32"/>
          <w:szCs w:val="32"/>
        </w:rPr>
        <w:t>关于印发</w:t>
      </w:r>
      <w:proofErr w:type="gramStart"/>
      <w:r w:rsidRPr="001F397E">
        <w:rPr>
          <w:rStyle w:val="a6"/>
          <w:rFonts w:ascii="微软雅黑" w:eastAsia="微软雅黑" w:hAnsi="微软雅黑" w:hint="eastAsia"/>
          <w:color w:val="333333"/>
          <w:spacing w:val="8"/>
          <w:sz w:val="32"/>
          <w:szCs w:val="32"/>
        </w:rPr>
        <w:t>《</w:t>
      </w:r>
      <w:proofErr w:type="gramEnd"/>
      <w:r w:rsidRPr="001F397E">
        <w:rPr>
          <w:rStyle w:val="a6"/>
          <w:rFonts w:ascii="微软雅黑" w:eastAsia="微软雅黑" w:hAnsi="微软雅黑" w:hint="eastAsia"/>
          <w:color w:val="333333"/>
          <w:spacing w:val="8"/>
          <w:sz w:val="32"/>
          <w:szCs w:val="32"/>
        </w:rPr>
        <w:t>法人金融机构洗钱和恐怖融资风险</w:t>
      </w:r>
    </w:p>
    <w:p w:rsidR="004C0E5D" w:rsidRPr="0086603D" w:rsidRDefault="004C0E5D" w:rsidP="0086603D">
      <w:pPr>
        <w:pStyle w:val="a5"/>
        <w:shd w:val="clear" w:color="auto" w:fill="FFFFFF"/>
        <w:spacing w:before="0" w:beforeAutospacing="0" w:after="0" w:afterAutospacing="0" w:line="420" w:lineRule="atLeast"/>
        <w:jc w:val="center"/>
        <w:rPr>
          <w:rFonts w:ascii="微软雅黑" w:eastAsia="微软雅黑" w:hAnsi="微软雅黑"/>
          <w:b/>
          <w:bCs/>
          <w:color w:val="333333"/>
          <w:spacing w:val="8"/>
          <w:sz w:val="32"/>
          <w:szCs w:val="32"/>
        </w:rPr>
      </w:pPr>
      <w:r w:rsidRPr="001F397E">
        <w:rPr>
          <w:rStyle w:val="a6"/>
          <w:rFonts w:ascii="微软雅黑" w:eastAsia="微软雅黑" w:hAnsi="微软雅黑" w:hint="eastAsia"/>
          <w:color w:val="333333"/>
          <w:spacing w:val="8"/>
          <w:sz w:val="32"/>
          <w:szCs w:val="32"/>
        </w:rPr>
        <w:t>管理指引（试行）</w:t>
      </w:r>
      <w:proofErr w:type="gramStart"/>
      <w:r w:rsidRPr="001F397E">
        <w:rPr>
          <w:rStyle w:val="a6"/>
          <w:rFonts w:ascii="微软雅黑" w:eastAsia="微软雅黑" w:hAnsi="微软雅黑" w:hint="eastAsia"/>
          <w:color w:val="333333"/>
          <w:spacing w:val="8"/>
          <w:sz w:val="32"/>
          <w:szCs w:val="32"/>
        </w:rPr>
        <w:t>》</w:t>
      </w:r>
      <w:proofErr w:type="gramEnd"/>
      <w:r w:rsidRPr="001F397E">
        <w:rPr>
          <w:rStyle w:val="a6"/>
          <w:rFonts w:ascii="微软雅黑" w:eastAsia="微软雅黑" w:hAnsi="微软雅黑" w:hint="eastAsia"/>
          <w:color w:val="333333"/>
          <w:spacing w:val="8"/>
          <w:sz w:val="32"/>
          <w:szCs w:val="32"/>
        </w:rPr>
        <w:t>的通知</w:t>
      </w:r>
    </w:p>
    <w:p w:rsidR="004C0E5D" w:rsidRPr="004C0E5D" w:rsidRDefault="004C0E5D" w:rsidP="004C0E5D">
      <w:pPr>
        <w:pStyle w:val="a5"/>
        <w:shd w:val="clear" w:color="auto" w:fill="FFFFFF"/>
        <w:spacing w:before="0" w:beforeAutospacing="0" w:after="0" w:afterAutospacing="0" w:line="420" w:lineRule="atLeast"/>
        <w:jc w:val="center"/>
        <w:rPr>
          <w:rFonts w:ascii="微软雅黑" w:eastAsia="微软雅黑" w:hAnsi="微软雅黑"/>
          <w:color w:val="333333"/>
          <w:spacing w:val="8"/>
        </w:rPr>
      </w:pPr>
      <w:r w:rsidRPr="004C0E5D">
        <w:rPr>
          <w:rFonts w:ascii="微软雅黑" w:eastAsia="微软雅黑" w:hAnsi="微软雅黑" w:hint="eastAsia"/>
          <w:color w:val="333333"/>
          <w:spacing w:val="8"/>
        </w:rPr>
        <w:t>银反洗发〔2018〕19号</w:t>
      </w:r>
    </w:p>
    <w:p w:rsidR="001F397E" w:rsidRDefault="001F397E" w:rsidP="001F397E">
      <w:pPr>
        <w:pStyle w:val="a5"/>
        <w:shd w:val="clear" w:color="auto" w:fill="FFFFFF"/>
        <w:spacing w:before="0" w:beforeAutospacing="0" w:after="0" w:afterAutospacing="0" w:line="332" w:lineRule="atLeast"/>
        <w:jc w:val="both"/>
        <w:rPr>
          <w:rFonts w:ascii="微软雅黑" w:eastAsia="微软雅黑" w:hAnsi="微软雅黑"/>
          <w:color w:val="333333"/>
          <w:spacing w:val="15"/>
        </w:rPr>
      </w:pPr>
      <w:r>
        <w:rPr>
          <w:rFonts w:ascii="微软雅黑" w:eastAsia="微软雅黑" w:hAnsi="微软雅黑" w:hint="eastAsia"/>
          <w:noProof/>
          <w:color w:val="333333"/>
          <w:spacing w:val="8"/>
        </w:rPr>
        <mc:AlternateContent>
          <mc:Choice Requires="wps">
            <w:drawing>
              <wp:anchor distT="0" distB="0" distL="114300" distR="114300" simplePos="0" relativeHeight="251659264" behindDoc="0" locked="0" layoutInCell="1" allowOverlap="1" wp14:anchorId="48CD66BF" wp14:editId="0AEB7E63">
                <wp:simplePos x="0" y="0"/>
                <wp:positionH relativeFrom="column">
                  <wp:posOffset>7620</wp:posOffset>
                </wp:positionH>
                <wp:positionV relativeFrom="paragraph">
                  <wp:posOffset>99060</wp:posOffset>
                </wp:positionV>
                <wp:extent cx="5280660" cy="30480"/>
                <wp:effectExtent l="0" t="0" r="15240" b="26670"/>
                <wp:wrapNone/>
                <wp:docPr id="1" name="直接连接符 1"/>
                <wp:cNvGraphicFramePr/>
                <a:graphic xmlns:a="http://schemas.openxmlformats.org/drawingml/2006/main">
                  <a:graphicData uri="http://schemas.microsoft.com/office/word/2010/wordprocessingShape">
                    <wps:wsp>
                      <wps:cNvCnPr/>
                      <wps:spPr>
                        <a:xfrm flipV="1">
                          <a:off x="0" y="0"/>
                          <a:ext cx="5280660" cy="3048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6pt,7.8pt" to="416.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" strokecolor="red" strokeweight="1.75pt"/>
            </w:pict>
          </mc:Fallback>
        </mc:AlternateContent>
      </w:r>
    </w:p>
    <w:p w:rsidR="001F397E" w:rsidRDefault="001F397E" w:rsidP="001F397E">
      <w:pPr>
        <w:pStyle w:val="a5"/>
        <w:shd w:val="clear" w:color="auto" w:fill="FFFFFF"/>
        <w:spacing w:before="0" w:beforeAutospacing="0" w:after="0" w:afterAutospacing="0" w:line="332" w:lineRule="atLeast"/>
        <w:jc w:val="both"/>
        <w:rPr>
          <w:rFonts w:ascii="微软雅黑" w:eastAsia="微软雅黑" w:hAnsi="微软雅黑"/>
          <w:color w:val="333333"/>
          <w:spacing w:val="15"/>
        </w:rPr>
      </w:pPr>
    </w:p>
    <w:p w:rsidR="004C0E5D" w:rsidRPr="004C0E5D" w:rsidRDefault="004C0E5D" w:rsidP="00A33508">
      <w:pPr>
        <w:pStyle w:val="a5"/>
        <w:shd w:val="clear" w:color="auto" w:fill="FFFFFF"/>
        <w:spacing w:before="0" w:beforeAutospacing="0" w:after="0" w:afterAutospacing="0" w:line="332" w:lineRule="atLeast"/>
        <w:ind w:firstLineChars="200" w:firstLine="540"/>
        <w:jc w:val="both"/>
        <w:rPr>
          <w:rFonts w:ascii="微软雅黑" w:eastAsia="微软雅黑" w:hAnsi="微软雅黑"/>
          <w:color w:val="333333"/>
          <w:spacing w:val="8"/>
        </w:rPr>
      </w:pPr>
      <w:bookmarkStart w:id="0" w:name="_GoBack"/>
      <w:r w:rsidRPr="004C0E5D">
        <w:rPr>
          <w:rFonts w:ascii="微软雅黑" w:eastAsia="微软雅黑" w:hAnsi="微软雅黑" w:hint="eastAsia"/>
          <w:color w:val="333333"/>
          <w:spacing w:val="15"/>
        </w:rPr>
        <w:t>中国人民银行上海总部金融服务二部，各分行、营业管理部，各省会（首府）城市中心支行，各副省级城市中心支行反洗钱处；各政策性银行、国有商业银行、股份制商业银行、中国邮政储蓄银行、中国银联、农信银资金清算中心、城市商业银行资金清算中心、中国人寿保险股份有限公司、中国人民财产保险股份有限公司、银河证券股份有限公司、中信证券股份有限公司反洗钱部门：</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为引导法人金融机构深入实践风险为本方法，落实《国务院办公厅关于完善反洗钱、反恐怖融资、反逃税监管体制机制的意见》，加强法人金融机构反洗钱和反恐怖融资工作，有效预防洗钱及相关违法犯罪活动，根据《中华人民共和国反洗钱法》、《中华人民共和国反恐怖主义法》《中华人民共和国中国人民银行法》等法律法规，中国人民银行反洗钱局制定了《法人金融机构洗钱和恐怖融资风险管理指引（试行）》（以下简称《指引》），现印发给你们，并就《指引》中有关事项通知如下，请遵照执行。</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一、金融机构工作安排</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（一）在2018年12月31日之前制定执行《指引》的工作方案，报中国人民银行反洗钱局或中国人民银行反洗钱局授权对该金融机构实施反洗钱监管的当地中国人民银行分支机构反洗钱部门。</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（二）考虑到非银行支付机构反洗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起步较晚，适当给予其一定时限的制度执行过渡期，但不应晚于2019年7月1日前执行。</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二、监管工作要求</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（一）中国人民银行反洗钱局及分支机构反洗</w:t>
      </w:r>
      <w:proofErr w:type="gramStart"/>
      <w:r w:rsidRPr="004C0E5D">
        <w:rPr>
          <w:rFonts w:ascii="微软雅黑" w:eastAsia="微软雅黑" w:hAnsi="微软雅黑" w:hint="eastAsia"/>
          <w:color w:val="333333"/>
          <w:spacing w:val="15"/>
        </w:rPr>
        <w:t>钱部门</w:t>
      </w:r>
      <w:proofErr w:type="gramEnd"/>
      <w:r w:rsidRPr="004C0E5D">
        <w:rPr>
          <w:rFonts w:ascii="微软雅黑" w:eastAsia="微软雅黑" w:hAnsi="微软雅黑" w:hint="eastAsia"/>
          <w:color w:val="333333"/>
          <w:spacing w:val="15"/>
        </w:rPr>
        <w:t>收到金融机构提交的工作方案及相关报告后，如有不同意见，应在30个工作日内向金融机构反馈。</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（二）中国人民银行反洗钱局及分支机构反洗</w:t>
      </w:r>
      <w:proofErr w:type="gramStart"/>
      <w:r w:rsidRPr="004C0E5D">
        <w:rPr>
          <w:rFonts w:ascii="微软雅黑" w:eastAsia="微软雅黑" w:hAnsi="微软雅黑" w:hint="eastAsia"/>
          <w:color w:val="333333"/>
          <w:spacing w:val="15"/>
        </w:rPr>
        <w:t>钱部门</w:t>
      </w:r>
      <w:proofErr w:type="gramEnd"/>
      <w:r w:rsidRPr="004C0E5D">
        <w:rPr>
          <w:rFonts w:ascii="微软雅黑" w:eastAsia="微软雅黑" w:hAnsi="微软雅黑" w:hint="eastAsia"/>
          <w:color w:val="333333"/>
          <w:spacing w:val="15"/>
        </w:rPr>
        <w:t>应当将金融机构执行《指引》要求的完善风险治理架构、制定洗钱风险管理策略等情况，作为反洗钱监管重点。</w:t>
      </w:r>
    </w:p>
    <w:p w:rsidR="004C0E5D" w:rsidRPr="004C0E5D" w:rsidRDefault="004C0E5D" w:rsidP="00A8428E">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请中国人民银行上海总部，各分行、营业管理部，各省会（首府）城市中心支行，各副省级城市中心支行反洗钱处将本通知转发至总部注册地在辖区内的各城市商业银行、农村商业银行、农村合作银行、城市信用社、农村信用社、村镇银行、证券公司、期货经纪公司、基金管理公司、保险公司、保险资产管理公司、保险专业代理公司、保险经纪公司、信托公司、金融资产管理公司、企业集团财务公司、金融租赁公司、汽车金融公司、消费金融公司、货币经纪公司等金融机构和非银行支付机构反洗钱部门。</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附件</w:t>
      </w:r>
      <w:r>
        <w:rPr>
          <w:rFonts w:ascii="微软雅黑" w:eastAsia="微软雅黑" w:hAnsi="微软雅黑" w:hint="eastAsia"/>
          <w:color w:val="333333"/>
          <w:spacing w:val="15"/>
        </w:rPr>
        <w:t>：</w:t>
      </w:r>
      <w:r w:rsidRPr="004C0E5D">
        <w:rPr>
          <w:rFonts w:ascii="微软雅黑" w:eastAsia="微软雅黑" w:hAnsi="微软雅黑" w:hint="eastAsia"/>
          <w:color w:val="333333"/>
          <w:spacing w:val="15"/>
        </w:rPr>
        <w:t>法人金融机构洗钱和恐怖融资风险管理指引（试行）</w:t>
      </w:r>
    </w:p>
    <w:p w:rsidR="004C0E5D" w:rsidRPr="004C0E5D" w:rsidRDefault="004C0E5D" w:rsidP="004C0E5D">
      <w:pPr>
        <w:pStyle w:val="a5"/>
        <w:shd w:val="clear" w:color="auto" w:fill="FFFFFF"/>
        <w:spacing w:before="0" w:beforeAutospacing="0" w:after="0" w:afterAutospacing="0" w:line="420" w:lineRule="atLeast"/>
        <w:ind w:firstLine="555"/>
        <w:jc w:val="right"/>
        <w:rPr>
          <w:rFonts w:ascii="微软雅黑" w:eastAsia="微软雅黑" w:hAnsi="微软雅黑"/>
          <w:color w:val="333333"/>
          <w:spacing w:val="8"/>
        </w:rPr>
      </w:pPr>
      <w:r w:rsidRPr="004C0E5D">
        <w:rPr>
          <w:rFonts w:ascii="微软雅黑" w:eastAsia="微软雅黑" w:hAnsi="微软雅黑" w:hint="eastAsia"/>
          <w:color w:val="333333"/>
          <w:spacing w:val="15"/>
        </w:rPr>
        <w:t>中国人民行反洗钱局</w:t>
      </w:r>
    </w:p>
    <w:p w:rsidR="004C0E5D" w:rsidRPr="004C0E5D" w:rsidRDefault="004C0E5D" w:rsidP="004C0E5D">
      <w:pPr>
        <w:pStyle w:val="a5"/>
        <w:shd w:val="clear" w:color="auto" w:fill="FFFFFF"/>
        <w:spacing w:before="0" w:beforeAutospacing="0" w:after="0" w:afterAutospacing="0" w:line="420" w:lineRule="atLeast"/>
        <w:ind w:firstLine="555"/>
        <w:jc w:val="right"/>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2018年9月29日</w:t>
      </w:r>
    </w:p>
    <w:bookmarkEnd w:id="0"/>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br w:type="page"/>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附件</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法人金融机构洗钱和恐怖融资风险管理指引（试行）</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第一章</w:t>
      </w:r>
      <w:r>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总则</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为引导法人金融机构深入实践风险为本方法，落实《关于完善反洗钱、反恐怖融资、反逃税监管体制机制的意见》加强法人金融机构反洗钱和反恐怖融资工作，有效预防洗钱及相关违法犯罪活动，根据《中华人民共和国反洗钱法》、《中华人民共和国反恐怖主义法》《中华人民共和国中国人民银行法》等法律法规，制定本指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本指引适用于在中华人民共和国境内依法设立的法人金融机构。</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高度重视洗钱、恐怖融资和扩散融资风险（以下统称洗钱风险）管理，充分认识在开展业务和经营管理过程中可能被违法犯罪活动利用而面临的洗钱风险。任何洗钱风险事件或案件的发生都可能带来严重的声誉风险和法律风险，并导致客户流失、业务损失和财务损失。</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有效的洗钱风险管理是法人金融机构安全、稳健运行的基础，法人金融机构及其全体员工应当勤勉尽责，牢固树立合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意识和风险意识，建立健全洗钱风险管理体系，按照风险为本方法，合理配置资源，对本机构洗钱风险进行持续识别、审慎评估、有效控制及全程管理，有效防范洗钱风险。</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法人金融机构应当考虑洗钱风险与声誉、法律、流动性等风险之间的关联性和传导性，审慎评估洗钱风险对声誉、运营、财务等方面的影响，防范洗钱风险传导与扩散。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法人金融机构洗钱风险管理应当遵循以下主要原则:</w:t>
      </w:r>
    </w:p>
    <w:p w:rsidR="00427E45"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hint="eastAsia"/>
          <w:color w:val="333333"/>
          <w:spacing w:val="15"/>
        </w:rPr>
      </w:pPr>
      <w:r w:rsidRPr="004C0E5D">
        <w:rPr>
          <w:rFonts w:ascii="微软雅黑" w:eastAsia="微软雅黑" w:hAnsi="微软雅黑" w:hint="eastAsia"/>
          <w:color w:val="333333"/>
          <w:spacing w:val="15"/>
        </w:rPr>
        <w:t>（一）全面性原则。洗钱风险管理应当贯穿决策、执行和监督的全过程；覆盖各项业务活动和管理流程；覆盖所有境内外分支机构及相关附属机构，以及相关部门、岗位和人员。</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（二）独立性原则。洗钱风险管理应当在组织架构、制度、流程、人员安排、报告路线等方面保持独立性，对业务经营和管理决策保持合理制衡。</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（三）匹配性原则。洗钱风险管理资源投入应当与所处行业风险特征、管理模式、业务规模、产品复杂程度等因素相适应，并根据情况变化及时调整。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（四）有效性原则。洗钱风险管理应当融入日常业务和经营管理，根据实际风险情况采取有针对性的控制措施，将洗钱风险控制在自身风险管理能力范围内。</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洗钱风险管理体系应当包括但不限于以下要素:</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（一）风险管理架构；</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（二）风险管理策略；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（三）风险管理政策和程序；</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（四）信息系统、数据治理；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（五）内部检查、审计、绩效考核和奖惩机制。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法人金融机构应当积极建设洗钱风险管理文化，促进全体员工树立洗钱风险管理意识、坚持价值准则、恪守职业操守，营造主动管理、合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经营的良好文化氛围。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中国人民银行及其分支机构依法对法人金融机构洗钱风险管理工作实施监督管理。</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风险管理架构</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建立组织健全、结构完整、职责明确的洗钱风险管理架构，规范董事会、监事会、高级管理层、业务部门、反洗钱管理部门、内部审计部门、人力资源部门、信息科技部门、境内外分支机构和相关附属机构在洗钱风险管理中的职责分工，建立层次清晰、相互协调、有效配合的运行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法人金融机构董事会承担洗钱风险管理的最终责任，主要履行以下职责: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（一）确立洗钱风险管理文化建设目标；</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（二）审定洗钱风险管理策略；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（三）审批洗钱风险管理的政策和程序；</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（四）授权高级管理人员牵头负责洗钱风险管理；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（五）定期审阅反洗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报告，及时了解重大洗钱风险事件及处理情况；</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（六）其他相关职。</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董事会可以授权下设的专业委员会履行其洗钱风险管理的部分职责。专业委员会负责向董事会提供洗钱风险管理专业意见。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法人金融机构监事会承担洗钱风险管理的监督责任，负责监督董事会和高级管理层在洗钱风险管理方面的履职尽责情况并督促整改，对法人金融机构的洗钱风险管理提出建议和意见。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法人金融机构高级管理</w:t>
      </w:r>
      <w:proofErr w:type="gramStart"/>
      <w:r w:rsidRPr="004C0E5D">
        <w:rPr>
          <w:rFonts w:ascii="微软雅黑" w:eastAsia="微软雅黑" w:hAnsi="微软雅黑" w:hint="eastAsia"/>
          <w:color w:val="333333"/>
          <w:spacing w:val="15"/>
        </w:rPr>
        <w:t>层承担</w:t>
      </w:r>
      <w:proofErr w:type="gramEnd"/>
      <w:r w:rsidRPr="004C0E5D">
        <w:rPr>
          <w:rFonts w:ascii="微软雅黑" w:eastAsia="微软雅黑" w:hAnsi="微软雅黑" w:hint="eastAsia"/>
          <w:color w:val="333333"/>
          <w:spacing w:val="15"/>
        </w:rPr>
        <w:t>洗钱风险管理的实施责任，执行董事会决议，主要履行以下职责: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（一）推动洗钱风险管理文化建设；</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（二）建立并及时调整洗钱风险管理组织架构，明确反洗钱管理部门、业务部门及其他部门在洗钱风险管理中的职责分工和协调机制；</w:t>
      </w:r>
    </w:p>
    <w:p w:rsidR="00427E45"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hint="eastAsia"/>
          <w:color w:val="333333"/>
          <w:spacing w:val="15"/>
        </w:rPr>
      </w:pPr>
      <w:r w:rsidRPr="004C0E5D">
        <w:rPr>
          <w:rFonts w:ascii="微软雅黑" w:eastAsia="微软雅黑" w:hAnsi="微软雅黑" w:hint="eastAsia"/>
          <w:color w:val="333333"/>
          <w:spacing w:val="15"/>
        </w:rPr>
        <w:t>（三）制定、调整洗钱风险管理策略及其执行机制；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（四）审核洗钱风险管理政策和程序；</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（五）定期向董事会报告反洗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情况，及时向董事会和监事会报告重大洗钱风险事件；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（六）组织落实反洗钱信息系统和数据治理；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（七）组织落实反洗钱绩效考核和奖惩机制；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（八）根据董事会授权对违反洗钱风险管理政策和程序的情况进行处理；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（九）其他相关职责。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任命或授权一名高级管理人员牵头负责洗钱风险管理工作，其有权独立开展工作，直接向董事会报告洗钱风险管理情况。法人金融机构应当确保其能够充分获取履职所需的权限和资源，避免可能影响其有效履职的利益冲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牵头负责洗钱风险管理工作的高级管理人员应当具备较强的履职能力和职业操守，同时具有五年以上合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或风险管理工作经历，或者具有所在行业十年以上工作经历。法人金融机构任命上述高级管理人员，应当按照规定向中国人民银行或当地人民银行备案。</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反洗钱管理部门牵头开展洗钱风险管理工作，推动落实各项反洗钱工作，主要履行以下职责: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（一）制定起草洗钱风险管理政策和程序；</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（二）贯彻落实反洗</w:t>
      </w:r>
      <w:proofErr w:type="gramStart"/>
      <w:r w:rsidRPr="004C0E5D">
        <w:rPr>
          <w:rFonts w:ascii="微软雅黑" w:eastAsia="微软雅黑" w:hAnsi="微软雅黑" w:hint="eastAsia"/>
          <w:color w:val="333333"/>
          <w:spacing w:val="15"/>
        </w:rPr>
        <w:t>钱法律</w:t>
      </w:r>
      <w:proofErr w:type="gramEnd"/>
      <w:r w:rsidRPr="004C0E5D">
        <w:rPr>
          <w:rFonts w:ascii="微软雅黑" w:eastAsia="微软雅黑" w:hAnsi="微软雅黑" w:hint="eastAsia"/>
          <w:color w:val="333333"/>
          <w:spacing w:val="15"/>
        </w:rPr>
        <w:t>法规和监管要求，建立健全反洗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控制制度及内部检查机制；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（三）识别、评估、监测本机构的洗钱风险，提出控制洗钱风险的措施和建议，及时向高级管理层报告；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（四）持续检查洗钱风险管理策略及洗钱风险管理政策和程序的执行情况，对违反风险管理政策和程序的情况及时预警、报告并提出处理建议；</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（五）建立反洗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协调机制，指导业务部门开展洗钱</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（六）组织或协调各相关部门开展客户洗钱风险分类管理；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（七）组织落实交易监测和名单监控的相关要求，按照规定报告大额交易和可疑交易；</w:t>
      </w:r>
    </w:p>
    <w:p w:rsidR="00E04B59"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hint="eastAsia"/>
          <w:color w:val="333333"/>
          <w:spacing w:val="15"/>
        </w:rPr>
      </w:pPr>
      <w:r w:rsidRPr="004C0E5D">
        <w:rPr>
          <w:rFonts w:ascii="微软雅黑" w:eastAsia="微软雅黑" w:hAnsi="微软雅黑" w:hint="eastAsia"/>
          <w:color w:val="333333"/>
          <w:spacing w:val="15"/>
        </w:rPr>
        <w:t>（八）牵头配合反洗钱监管，协调配合反洗钱行政调查；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（九）组织或协调相关部门开展反洗钱宣传和培训、建立健全反洗钱绩效考核和奖惩机制、建设完善反洗钱信息系统。</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业务部门承担洗钱风险管理的直接责任，主要履行以下职责: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（一）识别、评估、监测本业务条线的洗钱风险，及时向反洗钱管理部门报告；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（二）建立相应的工作机制，将洗钱风险管理要求嵌入产品研发、流程设计、业务管理和具体操作；</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（三）开展或配合开展客户身份识别和客户洗钱风险分类管理，采取针对性的风险应对措施；</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（四）以业务（含产品、服务）的洗钱风险评估为基础，完善各项业务操作流程；</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（五）完整并妥善保存客户身份资料及交易记录；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（六）开展或配合开展交易监测和名单监控，确保名单监控有效性，按照规定对相关资产和账户采取管控措施；</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（七）配合反洗钱监管和反洗钱行政调查工作；</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（八）开展本业务条线反洗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检查；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（九）开展本业务条线反洗钱宣传和培训；</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（十）配合反洗钱管理部门开展其他反洗钱工作。</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第十四条</w:t>
      </w:r>
      <w:r w:rsidRPr="004C0E5D">
        <w:rPr>
          <w:rStyle w:val="apple-converted-space"/>
          <w:rFonts w:ascii="微软雅黑" w:eastAsia="微软雅黑" w:hAnsi="微软雅黑" w:hint="eastAsia"/>
          <w:color w:val="333333"/>
          <w:spacing w:val="15"/>
        </w:rPr>
        <w:t> </w:t>
      </w:r>
      <w:r w:rsidRPr="004C0E5D">
        <w:rPr>
          <w:rFonts w:ascii="微软雅黑" w:eastAsia="微软雅黑" w:hAnsi="微软雅黑" w:hint="eastAsia"/>
          <w:color w:val="333333"/>
          <w:spacing w:val="15"/>
        </w:rPr>
        <w:t> 、第十五条所述反洗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职责、事项，涉及运营管理、风险管理、法律事务、财务会计、安全保卫等其他部门的，法人金融机构应当就上述部门对相关工作的职责分工进行明确规定。</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第十七条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内部审计部门负责对反洗</w:t>
      </w:r>
      <w:proofErr w:type="gramStart"/>
      <w:r w:rsidRPr="004C0E5D">
        <w:rPr>
          <w:rFonts w:ascii="微软雅黑" w:eastAsia="微软雅黑" w:hAnsi="微软雅黑" w:hint="eastAsia"/>
          <w:color w:val="333333"/>
          <w:spacing w:val="15"/>
        </w:rPr>
        <w:t>钱法律</w:t>
      </w:r>
      <w:proofErr w:type="gramEnd"/>
      <w:r w:rsidRPr="004C0E5D">
        <w:rPr>
          <w:rFonts w:ascii="微软雅黑" w:eastAsia="微软雅黑" w:hAnsi="微软雅黑" w:hint="eastAsia"/>
          <w:color w:val="333333"/>
          <w:spacing w:val="15"/>
        </w:rPr>
        <w:t>法规和监管要求的执行情况、内部控制制度的有效性和执行情况、洗钱风险管理情况进行独立、客观的审计评价。</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未设立审计部门的法人金融机构，应当明确相关工作由承担审计职能的其他部门承担，并保证相关工作的独立性。</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人力资源部门负责洗钱风险管理的人力资源保障，结合洗钱风险管理需求，合理配置洗钱风险管理职位、职级和</w:t>
      </w:r>
      <w:proofErr w:type="gramStart"/>
      <w:r w:rsidRPr="004C0E5D">
        <w:rPr>
          <w:rFonts w:ascii="微软雅黑" w:eastAsia="微软雅黑" w:hAnsi="微软雅黑" w:hint="eastAsia"/>
          <w:color w:val="333333"/>
          <w:spacing w:val="15"/>
        </w:rPr>
        <w:t>职数</w:t>
      </w:r>
      <w:proofErr w:type="gramEnd"/>
      <w:r w:rsidRPr="004C0E5D">
        <w:rPr>
          <w:rFonts w:ascii="微软雅黑" w:eastAsia="微软雅黑" w:hAnsi="微软雅黑" w:hint="eastAsia"/>
          <w:color w:val="333333"/>
          <w:spacing w:val="15"/>
        </w:rPr>
        <w:t>，选用符合标准的人员，建立反洗钱绩效考核和奖惩机制，为反洗钱宣导和培训提供支持。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信息科技部门负责反洗钱信息系统及相关系统的开发、日常维护及升级等工作，为洗钱风险管理提供必要的硬件设备和技术支持，根据相关数据安全和保密管理等监管要求，对客户、账户、交易信息及其他相关电子化信息进行保管和处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法人金融机构应当加强对境内外分支机构和相关附属机构的管理指导和监督，采取必要措施保证洗钱风险管理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政策和程序在境内外分支机构和相关附属机构得到充分理解与有效执行，保持洗钱风险管理的一致性和有效性。</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对于在境外设有分支机构或相关附属机构的法人金融机构，如果本指引的要求比所驻国家或地区的相关规定更为严格，但所驻国家或地区法律禁止或限制境外分支机构和相关附属机构实施本指引，法人金融机构应当采取适当的其他措施应对洗钱风险，并向中国人民银行报告。如</w:t>
      </w:r>
      <w:r w:rsidRPr="004C0E5D">
        <w:rPr>
          <w:rFonts w:ascii="微软雅黑" w:eastAsia="微软雅黑" w:hAnsi="微软雅黑" w:hint="eastAsia"/>
          <w:color w:val="333333"/>
          <w:spacing w:val="15"/>
        </w:rPr>
        <w:lastRenderedPageBreak/>
        <w:t>果其他措施无法有效控制风险，法人金融机构应当考虑在适当情况下关闭境外分支机构或相关附属机构。</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金融控股公司（集团）应当在集团层面实施统一的洗钱风险管理政策和程序，结合各专业公司的业务和产品特点，以客户为单位，建立适用于集团层面的可疑交易监测体系有效识别和应对跨市场、跨行业和跨机构的洗钱风险，防范洗钱风险在不同专业公司间的传导。</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法人金融机构反洗</w:t>
      </w:r>
      <w:proofErr w:type="gramStart"/>
      <w:r w:rsidRPr="004C0E5D">
        <w:rPr>
          <w:rFonts w:ascii="微软雅黑" w:eastAsia="微软雅黑" w:hAnsi="微软雅黑" w:hint="eastAsia"/>
          <w:color w:val="333333"/>
          <w:spacing w:val="15"/>
        </w:rPr>
        <w:t>钱资源</w:t>
      </w:r>
      <w:proofErr w:type="gramEnd"/>
      <w:r w:rsidRPr="004C0E5D">
        <w:rPr>
          <w:rFonts w:ascii="微软雅黑" w:eastAsia="微软雅黑" w:hAnsi="微软雅黑" w:hint="eastAsia"/>
          <w:color w:val="333333"/>
          <w:spacing w:val="15"/>
        </w:rPr>
        <w:t>配置应当与其业务发展相匹配，配备充足的洗钱风险管理人员，其中:反洗钱管理部门应当配备专职洗钱风险管理岗位（反洗钱岗位）人员，业务部门、境内外分支机构及相关附属机构应当根据业务实际和洗钱风险状况配备专职或兼职洗钱风险管理岗位（反洗钱岗位）人员。法人金融机构应当从制度建设、业务审核、风险评估、系统建设、监测分析、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制裁、案件管理等角度细分洗钱风险管理岗位（反洗钱岗位）。洗钱风险管理岗位（反洗钱岗位）职级不得低于法人金融机构其他风险管理岗位职级，不得将洗钱风险管理岗位（反洗钱岗位）简单设置为操作类岗位或外包。从事监测分析工作的人员配备应当与本机构的可疑交易甄别分析工作量相匹配。专职人员应当具有三年以上金融行业从业经历，专职人员和兼职人员均应当具备必要的履职能力和职业操守。</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法人金融机构有条件配备专职人员的，不得以兼职人员替代专职人员。兼职人员占全部洗钱风险管理人员的比例不得高于80％</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法人金融机构在聘用员工、任命或授权高级管理人员、选用洗钱风险管理人员、引入战略投资者或在主要股东和控股股东入股</w:t>
      </w:r>
      <w:r w:rsidRPr="004C0E5D">
        <w:rPr>
          <w:rFonts w:ascii="微软雅黑" w:eastAsia="微软雅黑" w:hAnsi="微软雅黑" w:hint="eastAsia"/>
          <w:color w:val="333333"/>
          <w:spacing w:val="15"/>
        </w:rPr>
        <w:lastRenderedPageBreak/>
        <w:t>之前，应当对其是否涉及刑事犯罪、是否存在其他犯罪记录及过往履职经历等情况进行充分的背景调查，评估可能存在的洗钱风险。</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赋予反洗钱管理部门、业务部门、审计部门等部门及洗钱风险管理人员充足的资源和授权，在组织架构、管理流程等方面确保其工作履职的独立性，保证其能够及时获得洗钱风险管理所需的数据和信息，满足履行洗钱风险管理职责的需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法人金融机构应当持续开展各类反洗钱宣传和培训，促进洗钱风险管理文化得到充分传导，全面提高全体员工的反洗钱知识、技能和意识，确保全体员工能够适应所在岗位的反洗钱履职需要。</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风险管理策略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制定科学、清晰、可行的洗钱风险管理策略，完善相关制度和工作机制，合理配置、统筹安排人员、资金、系统等反洗钱资源，并定期评估其有效性。洗钱风险管理策略应当根据洗钱风险状况及市场变化及时进行调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第二十七条</w:t>
      </w:r>
      <w:r w:rsidR="004370A6">
        <w:rPr>
          <w:rStyle w:val="a6"/>
          <w:rFonts w:ascii="微软雅黑" w:eastAsia="微软雅黑" w:hAnsi="微软雅黑" w:hint="eastAsia"/>
          <w:color w:val="333333"/>
          <w:spacing w:val="15"/>
        </w:rPr>
        <w:t xml:space="preserve">  </w:t>
      </w:r>
      <w:r w:rsidRPr="004C0E5D">
        <w:rPr>
          <w:rFonts w:ascii="微软雅黑" w:eastAsia="微软雅黑" w:hAnsi="微软雅黑" w:hint="eastAsia"/>
          <w:color w:val="333333"/>
          <w:spacing w:val="15"/>
        </w:rPr>
        <w:t>法人金融机构应当在建设全面风险管理文化、制定全面风险管理策略、制定全面风险管理政策和程序时统筹考虑洗钱风险管理，将洗钱风险纳入全面风险管理体系。洗钱风险管理策略应当与其全面风险管理策略相适应。</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按照风险为本方法制定洗钱风险管理策略，在识别和评估洗钱风险的基础上，针对风险较低的情形，采取简化的风险控制措施；针对风险较高的情形，采取强化的风险控制措施；超出机构风险控制能力的，不得与客户建立业务关系或进行交易，</w:t>
      </w:r>
      <w:r w:rsidRPr="004C0E5D">
        <w:rPr>
          <w:rFonts w:ascii="微软雅黑" w:eastAsia="微软雅黑" w:hAnsi="微软雅黑" w:hint="eastAsia"/>
          <w:color w:val="333333"/>
          <w:spacing w:val="15"/>
        </w:rPr>
        <w:lastRenderedPageBreak/>
        <w:t>已经建立业务关系的，应当中止交易并考虑提交可疑交易报告，必要时终止业务关系。</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积极开展普惠金融工作，根据本机构业务实际、客户的群体属性、洗钱风险评估结果和监管部门的要求，在有效管理洗钱风险的基础上，采取合理的客户身份识别措施，为社会不同群体提供差异化、有针对性的金融服务。</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风险管理政策和程序</w:t>
      </w:r>
      <w:proofErr w:type="gramStart"/>
      <w:r w:rsidRPr="004C0E5D">
        <w:rPr>
          <w:rStyle w:val="a6"/>
          <w:rFonts w:ascii="微软雅黑" w:eastAsia="微软雅黑" w:hAnsi="微软雅黑" w:hint="eastAsia"/>
          <w:color w:val="333333"/>
          <w:spacing w:val="15"/>
        </w:rPr>
        <w:t>一</w:t>
      </w:r>
      <w:proofErr w:type="gramEnd"/>
      <w:r w:rsidRPr="004C0E5D">
        <w:rPr>
          <w:rStyle w:val="a6"/>
          <w:rFonts w:ascii="微软雅黑" w:eastAsia="微软雅黑" w:hAnsi="微软雅黑" w:hint="eastAsia"/>
          <w:color w:val="333333"/>
          <w:spacing w:val="15"/>
        </w:rPr>
        <w:t>—方法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法人金融机构应当制定洗钱风险管理政策和程序，包括但不限于反洗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控制制度（含流程、操作指引）；洗钱风险管理的方法；应急计划；反洗钱措施；信息保密和信息共享。</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法人金融机构应当建立健全反洗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控制制度，加强统一管理，规范制度制定和审批程序，明确发文种类、层级和对象。</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控制制度应当全面覆盖反洗</w:t>
      </w:r>
      <w:proofErr w:type="gramStart"/>
      <w:r w:rsidRPr="004C0E5D">
        <w:rPr>
          <w:rFonts w:ascii="微软雅黑" w:eastAsia="微软雅黑" w:hAnsi="微软雅黑" w:hint="eastAsia"/>
          <w:color w:val="333333"/>
          <w:spacing w:val="15"/>
        </w:rPr>
        <w:t>钱法律</w:t>
      </w:r>
      <w:proofErr w:type="gramEnd"/>
      <w:r w:rsidRPr="004C0E5D">
        <w:rPr>
          <w:rFonts w:ascii="微软雅黑" w:eastAsia="微软雅黑" w:hAnsi="微软雅黑" w:hint="eastAsia"/>
          <w:color w:val="333333"/>
          <w:spacing w:val="15"/>
        </w:rPr>
        <w:t>法规和监管要求，并与本机构业务实际相适应。在反洗</w:t>
      </w:r>
      <w:proofErr w:type="gramStart"/>
      <w:r w:rsidRPr="004C0E5D">
        <w:rPr>
          <w:rFonts w:ascii="微软雅黑" w:eastAsia="微软雅黑" w:hAnsi="微软雅黑" w:hint="eastAsia"/>
          <w:color w:val="333333"/>
          <w:spacing w:val="15"/>
        </w:rPr>
        <w:t>钱法律</w:t>
      </w:r>
      <w:proofErr w:type="gramEnd"/>
      <w:r w:rsidRPr="004C0E5D">
        <w:rPr>
          <w:rFonts w:ascii="微软雅黑" w:eastAsia="微软雅黑" w:hAnsi="微软雅黑" w:hint="eastAsia"/>
          <w:color w:val="333333"/>
          <w:spacing w:val="15"/>
        </w:rPr>
        <w:t>法规、监管要求或业务发展情况发生变化时，法人金融机构应当及时更新反洗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控制制度。</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洗钱风险识别与评估是有效的洗钱风险管理的基础。法人金融机构应当建立洗钱风险评估制度，对本机构内外部洗钱风险进行分析</w:t>
      </w:r>
      <w:proofErr w:type="gramStart"/>
      <w:r w:rsidRPr="004C0E5D">
        <w:rPr>
          <w:rFonts w:ascii="微软雅黑" w:eastAsia="微软雅黑" w:hAnsi="微软雅黑" w:hint="eastAsia"/>
          <w:color w:val="333333"/>
          <w:spacing w:val="15"/>
        </w:rPr>
        <w:t>研</w:t>
      </w:r>
      <w:proofErr w:type="gramEnd"/>
      <w:r w:rsidRPr="004C0E5D">
        <w:rPr>
          <w:rFonts w:ascii="微软雅黑" w:eastAsia="微软雅黑" w:hAnsi="微软雅黑" w:hint="eastAsia"/>
          <w:color w:val="333333"/>
          <w:spacing w:val="15"/>
        </w:rPr>
        <w:t>判，评估本机构风险控制机制的有效性，查找风险漏洞和薄弱环节，有效运用评估结果，合理配置反洗钱资源，采取有针对性的风险控制措施。</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评估结果的运用包括但不限于以下方面:调整经营策略、发布风险提示、完善制度流程、增强资源投入、加强账户管理和交易监测、强化名单监控、严格内部检查和审计等。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法人金融机构应当确保洗钱风险评估的流程具有可稽核性或可追溯性，并对洗钱风险评估的流程和方法进行定期审查和调整。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法人金融机构可以在充分论证可行性的基础上委托</w:t>
      </w:r>
      <w:proofErr w:type="gramStart"/>
      <w:r w:rsidRPr="004C0E5D">
        <w:rPr>
          <w:rFonts w:ascii="微软雅黑" w:eastAsia="微软雅黑" w:hAnsi="微软雅黑" w:hint="eastAsia"/>
          <w:color w:val="333333"/>
          <w:spacing w:val="15"/>
        </w:rPr>
        <w:t>独立第三</w:t>
      </w:r>
      <w:proofErr w:type="gramEnd"/>
      <w:r w:rsidRPr="004C0E5D">
        <w:rPr>
          <w:rFonts w:ascii="微软雅黑" w:eastAsia="微软雅黑" w:hAnsi="微软雅黑" w:hint="eastAsia"/>
          <w:color w:val="333333"/>
          <w:spacing w:val="15"/>
        </w:rPr>
        <w:t>方开展风险评估。</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法人金融机构在广泛收集信息的基础上，采取定性与定量分析相结合的方法，建立洗钱风险评估指标体系和模型对洗钱风险进行识别和评估。</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法人金融机构应当根据风险评估需要，统筹确定各类信息的来源及其采集方法。信息来源应当考虑国家、行业、客户、地域、机构等方面，包括但不限于以下来源:</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金融行动特别工作组（FATF）、亚太反洗钱组织（APG）、欧亚反洗钱与反恐融资组织（EAG）、巴塞尔银行监管委员会（BIS）、国际证券监管委员会组织（IOSCO）、国际保险监督官协会（IAIS）等国际组织、国家和行业的风险评估报告、研究成果、形势分析、工作数据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（二）国家相关部门通报的上游犯罪形势、案例或监管信息；</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（三）中国人民银行、银保监会、证监会、外汇局等金融监管部门发布的洗钱风险提示和业务风险提示；</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（四）在与客户建立业务关系时和业务关系存续期间，客户披露的信息、客户经理</w:t>
      </w:r>
      <w:proofErr w:type="gramStart"/>
      <w:r w:rsidRPr="004C0E5D">
        <w:rPr>
          <w:rFonts w:ascii="微软雅黑" w:eastAsia="微软雅黑" w:hAnsi="微软雅黑" w:hint="eastAsia"/>
          <w:color w:val="333333"/>
          <w:spacing w:val="15"/>
        </w:rPr>
        <w:t>或柜面人员工</w:t>
      </w:r>
      <w:proofErr w:type="gramEnd"/>
      <w:r w:rsidRPr="004C0E5D">
        <w:rPr>
          <w:rFonts w:ascii="微软雅黑" w:eastAsia="微软雅黑" w:hAnsi="微软雅黑" w:hint="eastAsia"/>
          <w:color w:val="333333"/>
          <w:spacing w:val="15"/>
        </w:rPr>
        <w:t>作记录、保存的交易记录、委托其他金融机构或第三方对客户进行尽职调查工作所获取的合法信息；</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（五）内部管理或业务流程中获取的信息，包括内部审计结果。</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法人金融机构应当将信息采集嵌入相应业务流程，由各业务条线工作人员依据岗位职责、权限设置等开展信息采集。必要时通过问卷调查等方式，开展针对性的信息采集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法人金融机构应当从国家/地域、客户及业务（含产品、服务）等维度进行综合考虑，确立风险因素，设置风险评估指标。</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国家/地域风险因素应当考虑:1.在高风险国家（地区）设立境外分支机构情况；2.交易对手或对方金融机构涉及高风险国家（地区）情况；3.境外分支机构数量及地域分布情况；4.高风险国家（地区）经营收入占比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客户风险因素应当考虑:1.非居民客户数量占比；2.离岸客户数量占比；3.政治公众人物客户数量占比；4.使用不可核查证件开户客户数量占比；5.职业不明确客户数量占比；6.高风险职业（行业）客户数量占比；7.由第三方代理建立业务关系客户数量占比；8.来自高风险国家（地区）的客户情况；9.被国家机关调查的客户情况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业务（含产品、服务）风险因素应当考虑:1.现金交易情况；2.非面对面交易情况；3.跨境交易情况；4.代理交易情况；5.公转私交易情况；6.私人银行业务情况；7.特约商户业务情况；8.一次性交易情况；9.通</w:t>
      </w:r>
      <w:r w:rsidRPr="004C0E5D">
        <w:rPr>
          <w:rFonts w:ascii="微软雅黑" w:eastAsia="微软雅黑" w:hAnsi="微软雅黑" w:hint="eastAsia"/>
          <w:color w:val="333333"/>
          <w:spacing w:val="15"/>
        </w:rPr>
        <w:lastRenderedPageBreak/>
        <w:t>道类资产管理业务情况；10.场外交易情况:11.大宗交易情况；12.新三板协议转让业务；13.场外衍生品业务；14.保单贷款业务等。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法人金融机构应从制度体系、组织架构和洗钱风险管理文化的建设情况、洗钱风险管理策略、风险评估制度和风险控制措施的制定和执行情况等维度进行综合考虑，设置风险控制措施有效性的评估指标。</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评估指标的具体比重及分值设置由法人金融机构根据有效的洗钱风险管理需要自主确定。</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洗钱风险评估包括定期评估和不定期评估。法人金融机构应当根据本机构实际和国家/区域洗钱风险评估需要，合理确定定期开展全系统洗钱风险评估的时间、周期或频率。</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不定期评估包括对单项业务（含产品、服务）或特定客户的评估，以及在内部控制制度有重大调整、反洗钱监管政策发生重大变化、拓展新的销售或展业渠道、开发新产品或对现有产品使用新技术、拓展新的业务领域、设立新的境外机构、开展重大收购和投资等情况下对全系统或特定领域开展评估。</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为有效开展洗钱风险评估工作，法人金融机构应当建立并维护业务（含产品、服务）类型清单和客户种类清单。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法人金融机构应当根据洗钱风险评估结果，结合客户身份识别、客户身份资料和交易记录保存、交易监测、大额交易和可疑交易报告、名单监控、资产冻结等反洗</w:t>
      </w:r>
      <w:proofErr w:type="gramStart"/>
      <w:r w:rsidRPr="004C0E5D">
        <w:rPr>
          <w:rFonts w:ascii="微软雅黑" w:eastAsia="微软雅黑" w:hAnsi="微软雅黑" w:hint="eastAsia"/>
          <w:color w:val="333333"/>
          <w:spacing w:val="15"/>
        </w:rPr>
        <w:t>钱义务</w:t>
      </w:r>
      <w:proofErr w:type="gramEnd"/>
      <w:r w:rsidRPr="004C0E5D">
        <w:rPr>
          <w:rFonts w:ascii="微软雅黑" w:eastAsia="微软雅黑" w:hAnsi="微软雅黑" w:hint="eastAsia"/>
          <w:color w:val="333333"/>
          <w:spacing w:val="15"/>
        </w:rPr>
        <w:t>制定风险控制措施，并融入相关业务操作流程，有效控制洗钱风险。</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第三十八条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建立内部不同层次的洗钱风险报告制度。境内外分支机构、相关附属机构应当及时向总部反洗钱管理部门报告洗钱风险情况；各业务条线、业务部门应当及时向反洗钱管理部门报告洗钱风险情况，包括风险调整变动情况、风险评估结果等；反洗钱管理部门应当及时向董事会和高级管理</w:t>
      </w:r>
      <w:proofErr w:type="gramStart"/>
      <w:r w:rsidRPr="004C0E5D">
        <w:rPr>
          <w:rFonts w:ascii="微软雅黑" w:eastAsia="微软雅黑" w:hAnsi="微软雅黑" w:hint="eastAsia"/>
          <w:color w:val="333333"/>
          <w:spacing w:val="15"/>
        </w:rPr>
        <w:t>层报告</w:t>
      </w:r>
      <w:proofErr w:type="gramEnd"/>
      <w:r w:rsidRPr="004C0E5D">
        <w:rPr>
          <w:rFonts w:ascii="微软雅黑" w:eastAsia="微软雅黑" w:hAnsi="微软雅黑" w:hint="eastAsia"/>
          <w:color w:val="333333"/>
          <w:spacing w:val="15"/>
        </w:rPr>
        <w:t>洗钱风险情况，包括洗钱风险管理策略、政策、程序、风险评估制度、风险控制措施的制定和执行情况以及洗钱风险事件等。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制定应急计划，确保能够及时应对和处理重大洗钱风险享件、境内外有关反洗钱监管措施、重大洗钱负面新闻报道等紧急、危机情况，做好舆情监测，避免引发声誉风险。应急计划应当说明可能出现的重大风险情况及应当采取的措施。法人金融机构的应急计划应当涵盖对境内外分支机构和相关附属机构的应急安排。</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法人金融机构应当通过妥善方式记录开展洗钱风险管理的工作过程，采取必要的管理措施和技术手段保存工作资料，保存方式应当保证洗钱风险管理人员获取相关信息的便捷性。</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法人金融机构应当健全内部控制机制，按照《中华人民共和国反洗钱法》、《中华人民共和国国家安全法》《中华人民共和国网络安全法》和有关保密规定，严格保护反洗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中获得的信息，非依法律规定，不得向任何单位和个人提供。</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法人金融机构应当建立跨境信息保密保障措施，对于在开展跨境业务、应对跨境监管等过程中所涉的客户、账户和交易信息、可疑交易报</w:t>
      </w:r>
      <w:r w:rsidRPr="004C0E5D">
        <w:rPr>
          <w:rFonts w:ascii="微软雅黑" w:eastAsia="微软雅黑" w:hAnsi="微软雅黑" w:hint="eastAsia"/>
          <w:color w:val="333333"/>
          <w:spacing w:val="15"/>
        </w:rPr>
        <w:lastRenderedPageBreak/>
        <w:t>告等信息，应当严格控制跨境信息知悉范围和程度，建立完善的内部跨境信息传递体系、风险控制流程和授权审批机制。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境外有关部门因反洗钱和反恐怖融资需要要求其提供客户、账户、交易信息及其他相关信息的，法人金融机构应当告知对方通过外交途径、司法协助途径或金融监管合作途径等提出请求不得擅自提供。有关国内司法冻结、司法查询、可疑交易报告、行政机构反洗</w:t>
      </w:r>
      <w:proofErr w:type="gramStart"/>
      <w:r w:rsidRPr="004C0E5D">
        <w:rPr>
          <w:rFonts w:ascii="微软雅黑" w:eastAsia="微软雅黑" w:hAnsi="微软雅黑" w:hint="eastAsia"/>
          <w:color w:val="333333"/>
          <w:spacing w:val="15"/>
        </w:rPr>
        <w:t>钱调查</w:t>
      </w:r>
      <w:proofErr w:type="gramEnd"/>
      <w:r w:rsidRPr="004C0E5D">
        <w:rPr>
          <w:rFonts w:ascii="微软雅黑" w:eastAsia="微软雅黑" w:hAnsi="微软雅黑" w:hint="eastAsia"/>
          <w:color w:val="333333"/>
          <w:spacing w:val="15"/>
        </w:rPr>
        <w:t>等信息不得对外提供。</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境外清算代理行因反洗钱和反恐怖融资需要要求提供除汇款信息、单位客户注册信息等以外的客户身份信息、交易背景信息的，法人金融机构应当在获得客户授权同意后提供；客户不同意或未获得客户授权同意的，法人金融机构不得提供。</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出于洗钱风险管理需要，法人金融机构应当建立内部信息共享制度和程序，根据信息敏感度及其与洗钱风险管理的相关性确定信息共享的范围和程度，制定适当的信息共享机制，明确信息安全和保密要求，建立健全信息共享保障措施，确保信息的及时、准确、完整传递。</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法人金融机构反洗钱管理部门、审计部门等部门为履行反洗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职责，有权要求境内外分支机构和相关附属机构提供客户、账户、交易信息及其他与洗钱风险管理相关的信息。</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风险管理政策和程序——措施</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法人金融机构按照反洗</w:t>
      </w:r>
      <w:proofErr w:type="gramStart"/>
      <w:r w:rsidRPr="004C0E5D">
        <w:rPr>
          <w:rFonts w:ascii="微软雅黑" w:eastAsia="微软雅黑" w:hAnsi="微软雅黑" w:hint="eastAsia"/>
          <w:color w:val="333333"/>
          <w:spacing w:val="15"/>
        </w:rPr>
        <w:t>钱法律</w:t>
      </w:r>
      <w:proofErr w:type="gramEnd"/>
      <w:r w:rsidRPr="004C0E5D">
        <w:rPr>
          <w:rFonts w:ascii="微软雅黑" w:eastAsia="微软雅黑" w:hAnsi="微软雅黑" w:hint="eastAsia"/>
          <w:color w:val="333333"/>
          <w:spacing w:val="15"/>
        </w:rPr>
        <w:t>法规和监管要求所采取的客户身份识别、客户身份资料和交易记录保存、大额交易和可疑交</w:t>
      </w:r>
      <w:r w:rsidRPr="004C0E5D">
        <w:rPr>
          <w:rFonts w:ascii="微软雅黑" w:eastAsia="微软雅黑" w:hAnsi="微软雅黑" w:hint="eastAsia"/>
          <w:color w:val="333333"/>
          <w:spacing w:val="15"/>
        </w:rPr>
        <w:lastRenderedPageBreak/>
        <w:t>易报告等措施是满足反洗钱合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性要求的最低标准，情节严重的违法行为将受到处罚。为有效管理洗钱风险，法人金融机构应当在此基础上，采取更有针对性、更严格、更有效的措施。</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按照规定建立健全和执行客户身份识别制度，遵循“了解你的客户”的原则，针对具有不同洗钱风险的客户、业务关系或交易，采取相应的控制措施，通，过可靠和来源独立的证明文件、数据信息和资料核实客户身份了解客户建立、维持业务关系的目的及性质，了解实际控制客户的自然人和交易的实际受益人。</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客户身份识别措施包括但不限于以下方面:在建立业务关系时的客户身份识别措施、在业务关系存续期间的持续识别和重新识别措施、非自然人客户受益所有人的识别措施、对特定自然人和特定类别业务的客户身份识别措施以及客户洗钱风险分类管理措施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在建立业务关系时，法人金融机构为不影响正常交易，可以在建立业务关系后完成对客户的身份核实，但应当建立相应的风险管理机制和程序，确保客户洗钱和恐怖融资风险可控。在业务关系存续期间，法人金融机构应详细审查保存的客户资料和交易，及时更新客户身份信息，确保当前进行的交易与客户身份背景相匹配。</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按照规定建立客户身份资料和交易记录保存制度，强化内部管理措施，更新技术手段，逐步完善相关信息系统，统筹考虑保存范围、方式和期限，确保客户身份信息和交易记录完整准确。法人金融机构应当建立适当的授权机制，明确工作程序，</w:t>
      </w:r>
      <w:r w:rsidRPr="004C0E5D">
        <w:rPr>
          <w:rFonts w:ascii="微软雅黑" w:eastAsia="微软雅黑" w:hAnsi="微软雅黑" w:hint="eastAsia"/>
          <w:color w:val="333333"/>
          <w:spacing w:val="15"/>
        </w:rPr>
        <w:lastRenderedPageBreak/>
        <w:t>按照规定将客户身份信息和交易记录迅速、便捷、准确地提供给监管机构、执法机构等部门。</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法人金融机构应当构建以客户为基本单位的交易监测体系，交易监测范围应当覆盖全部客户和业务领域，包括客户的交易、企图进行的交易及客户身份识别的整个过程。法人金融机构应当根据本行业、本机构反洗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实践和真实数据，重点参考本行业发生的洗钱案件及风险信息，结合客户的身份特征、交易特征或行为特征，建立与其面临的洗钱风险相匹配的监测标准，并根据客户、业务（含产品、服务）和洗钱风险变化情况及时调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法人金融机构应当建立健全大额交易和可疑交易报告制度，按照规定及时、准确、完整向中国反洗钱监测分析中心或中国人民银行及其分支机构提交大额交易和可疑交易报告。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结合实际探索符合本机构特点的可疑交易报告分析处理模式，运用信息系统与人工分析相结合的方式，完整记录可疑交易分析排除或上报的全过程，完善可疑交易报告流程，提高可疑交易报告质量。</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法人金融机构在报送可疑交易报告后，应当根据中国人民银行的相关规定采取相应的后续风险控制措施，包括对可疑交易所</w:t>
      </w:r>
      <w:proofErr w:type="gramStart"/>
      <w:r w:rsidRPr="004C0E5D">
        <w:rPr>
          <w:rFonts w:ascii="微软雅黑" w:eastAsia="微软雅黑" w:hAnsi="微软雅黑" w:hint="eastAsia"/>
          <w:color w:val="333333"/>
          <w:spacing w:val="15"/>
        </w:rPr>
        <w:t>涉客户</w:t>
      </w:r>
      <w:proofErr w:type="gramEnd"/>
      <w:r w:rsidRPr="004C0E5D">
        <w:rPr>
          <w:rFonts w:ascii="微软雅黑" w:eastAsia="微软雅黑" w:hAnsi="微软雅黑" w:hint="eastAsia"/>
          <w:color w:val="333333"/>
          <w:spacing w:val="15"/>
        </w:rPr>
        <w:t>及交易开展持续监控、提升客户风险等级、限制客户交易、拒绝提供服务、终止业务关系、向相关金融监管部门报告、向相关</w:t>
      </w:r>
      <w:proofErr w:type="gramStart"/>
      <w:r w:rsidRPr="004C0E5D">
        <w:rPr>
          <w:rFonts w:ascii="微软雅黑" w:eastAsia="微软雅黑" w:hAnsi="微软雅黑" w:hint="eastAsia"/>
          <w:color w:val="333333"/>
          <w:spacing w:val="15"/>
        </w:rPr>
        <w:t>侦查机</w:t>
      </w:r>
      <w:proofErr w:type="gramEnd"/>
      <w:r w:rsidRPr="004C0E5D">
        <w:rPr>
          <w:rFonts w:ascii="微软雅黑" w:eastAsia="微软雅黑" w:hAnsi="微软雅黑" w:hint="eastAsia"/>
          <w:color w:val="333333"/>
          <w:spacing w:val="15"/>
        </w:rPr>
        <w:t>关报案等。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法人金融机构应当建立反洗钱和反恐怖融资监控名单库，并及时进行更新和维护。监控名单包括但不限于以下内容:</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（一）公安部等我国有权部门发布的恐怖活动组织及恐怖活动人员名单；</w:t>
      </w:r>
    </w:p>
    <w:p w:rsidR="00E04B59"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hint="eastAsia"/>
          <w:color w:val="333333"/>
          <w:spacing w:val="15"/>
        </w:rPr>
      </w:pPr>
      <w:r w:rsidRPr="004C0E5D">
        <w:rPr>
          <w:rFonts w:ascii="微软雅黑" w:eastAsia="微软雅黑" w:hAnsi="微软雅黑" w:hint="eastAsia"/>
          <w:color w:val="333333"/>
          <w:spacing w:val="15"/>
        </w:rPr>
        <w:t>（二）联合国发布的且得到我国承认的制裁决议名单；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（三）其他国际组织、其他国家（地区）发布的且得到我国承认的反洗钱和反恐怖融资监控名单；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（四）中国人民银行要求关注的其他反洗钱和反恐怖融资监控名单；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（五）洗钱风险管理工作中发现的其他需要监测关注的组织或人员名单。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对监控名单开展实时监测涉及资金交易的应当在资金交易完成前开展监测，不涉及资金交易的应当在办理相关业务后尽快开展监测。在名单调整时，法人金融机构应当立即对存量客户以及上溯三年内的交易开展回溯性调查，并按规定提交可疑交易报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法人金融机构在洗钱风险管理工作中发现的其他需要监测关注的组织或人员名单，可以根据洗钱风险管理需要自主决定是否开展实时监测和回溯性调查。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实时监测和回溯性调查应当运用信息系统与人工分析相结合的方式，通过信息系统实现监控名单精准匹配的自动识别工作，或先通过信息系统实现监控名单模糊匹配的初步筛查，再通过人工分析完成监控名单模糊匹配的最终识别工作。交易的回溯性调查可以采取信息系统实时筛查与后台数据库检索查询相结合的方式开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第五十条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有合理理由怀疑客户或其交易对手、资金或其他资产与监控名单相关的，应当按照规定立即提交可疑交易报告。客户与监控名单匹配的，应当立即采取相应措施并于当日将有关情况报告中国人民银行和其他相关部门。具体措施包括但不限于停止金融账户的开立、变更、撤销和使用，暂停金融交易，拒绝转移、转换金融资产，停止提供出口信贷、担保、保险等金融服务，依法冻结账户资产。暂时无法准确判断客户与监控名单是否相匹配的，法人金融机构应当按照风险管理原则，采取相应的风险控制措施并进行持续交易监控。</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法人金融机构应当有效</w:t>
      </w:r>
      <w:proofErr w:type="gramStart"/>
      <w:r w:rsidRPr="004C0E5D">
        <w:rPr>
          <w:rFonts w:ascii="微软雅黑" w:eastAsia="微软雅黑" w:hAnsi="微软雅黑" w:hint="eastAsia"/>
          <w:color w:val="333333"/>
          <w:spacing w:val="15"/>
        </w:rPr>
        <w:t>识别高</w:t>
      </w:r>
      <w:proofErr w:type="gramEnd"/>
      <w:r w:rsidRPr="004C0E5D">
        <w:rPr>
          <w:rFonts w:ascii="微软雅黑" w:eastAsia="微软雅黑" w:hAnsi="微软雅黑" w:hint="eastAsia"/>
          <w:color w:val="333333"/>
          <w:spacing w:val="15"/>
        </w:rPr>
        <w:t>风险业务（含产品、服务），并对其进行定期评估、动态调整。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对于高风险业务（含产品、服务），如建立账户代理行关系、提供资金或价值转移服务、办理电汇业务等，法人金融机构应按照相关法律法规的要求，开展进一步的强化尽职调查措施，并</w:t>
      </w:r>
      <w:proofErr w:type="gramStart"/>
      <w:r w:rsidRPr="004C0E5D">
        <w:rPr>
          <w:rFonts w:ascii="微软雅黑" w:eastAsia="微软雅黑" w:hAnsi="微软雅黑" w:hint="eastAsia"/>
          <w:color w:val="333333"/>
          <w:spacing w:val="15"/>
        </w:rPr>
        <w:t>结合高</w:t>
      </w:r>
      <w:proofErr w:type="gramEnd"/>
      <w:r w:rsidRPr="004C0E5D">
        <w:rPr>
          <w:rFonts w:ascii="微软雅黑" w:eastAsia="微软雅黑" w:hAnsi="微软雅黑" w:hint="eastAsia"/>
          <w:color w:val="333333"/>
          <w:spacing w:val="15"/>
        </w:rPr>
        <w:t>风险业务（含产品、服务）典型风险特征及时发布风险提示。</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法人金融机构应当制定并执行清晰的客户接纳政策和程序，明确禁止建立业务关系的客户范围，有效</w:t>
      </w:r>
      <w:proofErr w:type="gramStart"/>
      <w:r w:rsidRPr="004C0E5D">
        <w:rPr>
          <w:rFonts w:ascii="微软雅黑" w:eastAsia="微软雅黑" w:hAnsi="微软雅黑" w:hint="eastAsia"/>
          <w:color w:val="333333"/>
          <w:spacing w:val="15"/>
        </w:rPr>
        <w:t>识别高</w:t>
      </w:r>
      <w:proofErr w:type="gramEnd"/>
      <w:r w:rsidRPr="004C0E5D">
        <w:rPr>
          <w:rFonts w:ascii="微软雅黑" w:eastAsia="微软雅黑" w:hAnsi="微软雅黑" w:hint="eastAsia"/>
          <w:color w:val="333333"/>
          <w:spacing w:val="15"/>
        </w:rPr>
        <w:t>风险客户或高风险账户，并对其进行定期评估、动态调整。对于高风险客户或高风险账户持有人，包括客户属于政治公众人物、国际组织高级管理人员及其特定关系人或来自高风险国家（地区）的，法人金融机构应当在客户身份识别要求的基础上采取强化措施，包括但不限于进一步获取客户及其受益所有人身份信息，适当提高信息的收集或更新频率，深入了解客户经营活动状况、财产或资金来源，询问与核实交易的目的和动机，适度</w:t>
      </w:r>
      <w:r w:rsidRPr="004C0E5D">
        <w:rPr>
          <w:rFonts w:ascii="微软雅黑" w:eastAsia="微软雅黑" w:hAnsi="微软雅黑" w:hint="eastAsia"/>
          <w:color w:val="333333"/>
          <w:spacing w:val="15"/>
        </w:rPr>
        <w:lastRenderedPageBreak/>
        <w:t>提高交易监测的频率及强度，提高审批层级等，并加强对其金融交易活动的跟踪监测和分析排查。</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第六章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信息系统和反洗钱数据、信息</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建立完善以客户为单位，覆盖所有业务（含产品、服务）和客户的反洗钱信息系统，及时、准确、完整采集和记录洗钱风险管理所需信息，对洗钱风险进行识别、评估、监测和报告，并根据洗钱风险管理需要持续优化升级系统。</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反洗钱信息系统及相关系统应当包括但不限于以下主要功能，以支持洗钱风险管理的需要。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（一）支持洗钱风险评估，包括业务洗钱风险评估和客户洗钱风险分类管理；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（二）支持客户身份识别、客户身份资料及交易记录等反洗</w:t>
      </w:r>
      <w:proofErr w:type="gramStart"/>
      <w:r w:rsidRPr="004C0E5D">
        <w:rPr>
          <w:rFonts w:ascii="微软雅黑" w:eastAsia="微软雅黑" w:hAnsi="微软雅黑" w:hint="eastAsia"/>
          <w:color w:val="333333"/>
          <w:spacing w:val="15"/>
        </w:rPr>
        <w:t>钱信息</w:t>
      </w:r>
      <w:proofErr w:type="gramEnd"/>
      <w:r w:rsidRPr="004C0E5D">
        <w:rPr>
          <w:rFonts w:ascii="微软雅黑" w:eastAsia="微软雅黑" w:hAnsi="微软雅黑" w:hint="eastAsia"/>
          <w:color w:val="333333"/>
          <w:spacing w:val="15"/>
        </w:rPr>
        <w:t>的登记、保存、查询和使用；</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（三）支持反洗钱交易监测和分析；</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（四）支持大额交易和可疑交易报告；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（五）支持名单实时监控和回溯性调查；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（六）支持反洗钱监管和反洗钱调查。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在保密原则基础上，法人金融机构应当根据工作职责合理配置本机构各业务条线、各境内外分支机构和相关附属机构、各岗位的信息系统使用权限，确保各级人员有效获取洗钱风险管理所需信息，满足实际工作需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第五十六条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法人金融机构应当加强数据治理，建立健全数据质量控制机制，积累真实、准确、连续、完整的内外部数据，用于洗钱风险识别、评估、监测和报告。反洗</w:t>
      </w:r>
      <w:proofErr w:type="gramStart"/>
      <w:r w:rsidRPr="004C0E5D">
        <w:rPr>
          <w:rFonts w:ascii="微软雅黑" w:eastAsia="微软雅黑" w:hAnsi="微软雅黑" w:hint="eastAsia"/>
          <w:color w:val="333333"/>
          <w:spacing w:val="15"/>
        </w:rPr>
        <w:t>钱数据</w:t>
      </w:r>
      <w:proofErr w:type="gramEnd"/>
      <w:r w:rsidRPr="004C0E5D">
        <w:rPr>
          <w:rFonts w:ascii="微软雅黑" w:eastAsia="微软雅黑" w:hAnsi="微软雅黑" w:hint="eastAsia"/>
          <w:color w:val="333333"/>
          <w:spacing w:val="15"/>
        </w:rPr>
        <w:t>的存储和使用应当符合数据安全标准、满足保密管理要求。</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法人金融机构不得违反规定设置信息壁垒，阻止或影响其他法人金融机构正常获取开展反洗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所必需的信息和数据。</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第七章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内部检查、审计、绩效考核和奖惩机制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法人金融机构应当对业务部门、境内外分支机构、相关附属机构开展定期或不定期的反洗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检查，对检查结果进行分析，对发现的问题进行积极整改。检查结果与业务部门、境内外分支机构、相关附属机构绩效考核和管理授权挂钩。</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法人金融机构应当通过内部审计开展洗钱风险管理的审计评价，检查和评价洗钱风险管理的合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性和有效性，确保各项业务自身管理与其洗钱风险管理工作相匹配，反洗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控制有效。审计范围、方法和频率应当与洗钱风险状况相适应。反洗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审计可以是专项审计或与其他审计项目结合进行。</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法人金融机构应当确保反洗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审计活动独立于业务经营、风险管理和合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管理，遵循独立性、客观性原则，不断提升内部审计人员的专业能力和职业操守。</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审计报告应当提交董事会或其授权的专门委员会。董事会或其授权的专门委员会应当针对内部审计发现的问题，督促高级管理层及时采取整改措施。内部审计部门应当跟踪检查整改措施的实施情况，</w:t>
      </w:r>
      <w:r w:rsidRPr="004C0E5D">
        <w:rPr>
          <w:rFonts w:ascii="微软雅黑" w:eastAsia="微软雅黑" w:hAnsi="微软雅黑" w:hint="eastAsia"/>
          <w:color w:val="333333"/>
          <w:spacing w:val="15"/>
        </w:rPr>
        <w:lastRenderedPageBreak/>
        <w:t>涉及重大问题的整改情况，应及时向董事会或其授权的专门委员会提交有关报告。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法人金融机构委托外部审计机构对洗钱风险管理工作开展评价的，外部审计必须确保审计范围和方法科学合理，审计人员具有必要的专业知识和经验，审计工作应当满足反洗钱保密要求。</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第六十条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将反洗钱工作评价纳入绩效考核体系，将董事、监事、高级管理人员、洗钱风险管理人员的洗钱风险管理履职情况和业务部门、境内外分支机构和相关附属机构的洗钱风险管理履职情况纳入绩效考核范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建立反洗钱奖惩机制，对于发现重大可疑交易线索或防范、遏止相关犯罪行为的员工给予适当的奖励或表扬；对于未有效履行反洗钱职责、受到反洗钱监管处罚、涉及洗钱犯罪的员工追究相关责任。</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第八章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附则</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第六十一条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未设立董事会和监事会的法人金融机构，由其高级管理</w:t>
      </w:r>
      <w:proofErr w:type="gramStart"/>
      <w:r w:rsidRPr="004C0E5D">
        <w:rPr>
          <w:rFonts w:ascii="微软雅黑" w:eastAsia="微软雅黑" w:hAnsi="微软雅黑" w:hint="eastAsia"/>
          <w:color w:val="333333"/>
          <w:spacing w:val="15"/>
        </w:rPr>
        <w:t>层承担</w:t>
      </w:r>
      <w:proofErr w:type="gramEnd"/>
      <w:r w:rsidRPr="004C0E5D">
        <w:rPr>
          <w:rFonts w:ascii="微软雅黑" w:eastAsia="微软雅黑" w:hAnsi="微软雅黑" w:hint="eastAsia"/>
          <w:color w:val="333333"/>
          <w:spacing w:val="15"/>
        </w:rPr>
        <w:t>洗钱风险管理的最终责任，履行相应职责，并指定一个独立于反洗钱管理部门的内设部门承担洗钱风险管理的监督职责。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法人金融机构根据本机构业务实际对反洗钱信息系统及其他相关系统的开发、日常维护及升级等工作</w:t>
      </w:r>
      <w:proofErr w:type="gramStart"/>
      <w:r w:rsidRPr="004C0E5D">
        <w:rPr>
          <w:rFonts w:ascii="微软雅黑" w:eastAsia="微软雅黑" w:hAnsi="微软雅黑" w:hint="eastAsia"/>
          <w:color w:val="333333"/>
          <w:spacing w:val="15"/>
        </w:rPr>
        <w:t>作出</w:t>
      </w:r>
      <w:proofErr w:type="gramEnd"/>
      <w:r w:rsidRPr="004C0E5D">
        <w:rPr>
          <w:rFonts w:ascii="微软雅黑" w:eastAsia="微软雅黑" w:hAnsi="微软雅黑" w:hint="eastAsia"/>
          <w:color w:val="333333"/>
          <w:spacing w:val="15"/>
        </w:rPr>
        <w:t>其他安排的，应当确保相关安排满足洗钱风险管理需要。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第六十二条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非银行支付机构、从事汇兑业务和基金销售业务的机构，以及银行卡清算机构、资金清算中心等从事清算业务的机构参照本指引开展洗钱风险管理。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第六十三条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本指引由中国人民银行负责解释。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第六十四条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本指引自2019年1月1日起施行。</w:t>
      </w:r>
    </w:p>
    <w:p w:rsidR="00C93E4B" w:rsidRPr="004C0E5D" w:rsidRDefault="00C93E4B">
      <w:pPr>
        <w:rPr>
          <w:rFonts w:ascii="微软雅黑" w:eastAsia="微软雅黑" w:hAnsi="微软雅黑"/>
          <w:sz w:val="24"/>
          <w:szCs w:val="24"/>
        </w:rPr>
      </w:pPr>
    </w:p>
    <w:sectPr w:rsidR="00C93E4B" w:rsidRPr="004C0E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7D" w:rsidRDefault="00E6427D" w:rsidP="004C0E5D">
      <w:r>
        <w:separator/>
      </w:r>
    </w:p>
  </w:endnote>
  <w:endnote w:type="continuationSeparator" w:id="0">
    <w:p w:rsidR="00E6427D" w:rsidRDefault="00E6427D" w:rsidP="004C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7D" w:rsidRDefault="00E6427D" w:rsidP="004C0E5D">
      <w:r>
        <w:separator/>
      </w:r>
    </w:p>
  </w:footnote>
  <w:footnote w:type="continuationSeparator" w:id="0">
    <w:p w:rsidR="00E6427D" w:rsidRDefault="00E6427D" w:rsidP="004C0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74"/>
    <w:rsid w:val="00196F5F"/>
    <w:rsid w:val="001F397E"/>
    <w:rsid w:val="002D1974"/>
    <w:rsid w:val="00427E45"/>
    <w:rsid w:val="004370A6"/>
    <w:rsid w:val="00441BFF"/>
    <w:rsid w:val="004C0E5D"/>
    <w:rsid w:val="00840FA1"/>
    <w:rsid w:val="0086603D"/>
    <w:rsid w:val="008A28DD"/>
    <w:rsid w:val="008C34C3"/>
    <w:rsid w:val="00A33508"/>
    <w:rsid w:val="00A8428E"/>
    <w:rsid w:val="00C93E4B"/>
    <w:rsid w:val="00E04B59"/>
    <w:rsid w:val="00E64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E5D"/>
    <w:rPr>
      <w:sz w:val="18"/>
      <w:szCs w:val="18"/>
    </w:rPr>
  </w:style>
  <w:style w:type="paragraph" w:styleId="a4">
    <w:name w:val="footer"/>
    <w:basedOn w:val="a"/>
    <w:link w:val="Char0"/>
    <w:uiPriority w:val="99"/>
    <w:unhideWhenUsed/>
    <w:rsid w:val="004C0E5D"/>
    <w:pPr>
      <w:tabs>
        <w:tab w:val="center" w:pos="4153"/>
        <w:tab w:val="right" w:pos="8306"/>
      </w:tabs>
      <w:snapToGrid w:val="0"/>
      <w:jc w:val="left"/>
    </w:pPr>
    <w:rPr>
      <w:sz w:val="18"/>
      <w:szCs w:val="18"/>
    </w:rPr>
  </w:style>
  <w:style w:type="character" w:customStyle="1" w:styleId="Char0">
    <w:name w:val="页脚 Char"/>
    <w:basedOn w:val="a0"/>
    <w:link w:val="a4"/>
    <w:uiPriority w:val="99"/>
    <w:rsid w:val="004C0E5D"/>
    <w:rPr>
      <w:sz w:val="18"/>
      <w:szCs w:val="18"/>
    </w:rPr>
  </w:style>
  <w:style w:type="paragraph" w:styleId="a5">
    <w:name w:val="Normal (Web)"/>
    <w:basedOn w:val="a"/>
    <w:uiPriority w:val="99"/>
    <w:semiHidden/>
    <w:unhideWhenUsed/>
    <w:rsid w:val="004C0E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C0E5D"/>
    <w:rPr>
      <w:b/>
      <w:bCs/>
    </w:rPr>
  </w:style>
  <w:style w:type="character" w:customStyle="1" w:styleId="apple-converted-space">
    <w:name w:val="apple-converted-space"/>
    <w:basedOn w:val="a0"/>
    <w:rsid w:val="004C0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E5D"/>
    <w:rPr>
      <w:sz w:val="18"/>
      <w:szCs w:val="18"/>
    </w:rPr>
  </w:style>
  <w:style w:type="paragraph" w:styleId="a4">
    <w:name w:val="footer"/>
    <w:basedOn w:val="a"/>
    <w:link w:val="Char0"/>
    <w:uiPriority w:val="99"/>
    <w:unhideWhenUsed/>
    <w:rsid w:val="004C0E5D"/>
    <w:pPr>
      <w:tabs>
        <w:tab w:val="center" w:pos="4153"/>
        <w:tab w:val="right" w:pos="8306"/>
      </w:tabs>
      <w:snapToGrid w:val="0"/>
      <w:jc w:val="left"/>
    </w:pPr>
    <w:rPr>
      <w:sz w:val="18"/>
      <w:szCs w:val="18"/>
    </w:rPr>
  </w:style>
  <w:style w:type="character" w:customStyle="1" w:styleId="Char0">
    <w:name w:val="页脚 Char"/>
    <w:basedOn w:val="a0"/>
    <w:link w:val="a4"/>
    <w:uiPriority w:val="99"/>
    <w:rsid w:val="004C0E5D"/>
    <w:rPr>
      <w:sz w:val="18"/>
      <w:szCs w:val="18"/>
    </w:rPr>
  </w:style>
  <w:style w:type="paragraph" w:styleId="a5">
    <w:name w:val="Normal (Web)"/>
    <w:basedOn w:val="a"/>
    <w:uiPriority w:val="99"/>
    <w:semiHidden/>
    <w:unhideWhenUsed/>
    <w:rsid w:val="004C0E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C0E5D"/>
    <w:rPr>
      <w:b/>
      <w:bCs/>
    </w:rPr>
  </w:style>
  <w:style w:type="character" w:customStyle="1" w:styleId="apple-converted-space">
    <w:name w:val="apple-converted-space"/>
    <w:basedOn w:val="a0"/>
    <w:rsid w:val="004C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9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26</Pages>
  <Words>1980</Words>
  <Characters>11289</Characters>
  <Application>Microsoft Office Word</Application>
  <DocSecurity>0</DocSecurity>
  <Lines>94</Lines>
  <Paragraphs>26</Paragraphs>
  <ScaleCrop>false</ScaleCrop>
  <Company>agilecentury</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捷软</dc:creator>
  <cp:keywords/>
  <dc:description/>
  <cp:lastModifiedBy>胡开文</cp:lastModifiedBy>
  <cp:revision>6</cp:revision>
  <dcterms:created xsi:type="dcterms:W3CDTF">2018-10-11T01:56:00Z</dcterms:created>
  <dcterms:modified xsi:type="dcterms:W3CDTF">2018-11-09T02:51:00Z</dcterms:modified>
</cp:coreProperties>
</file>